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6F" w:rsidRPr="00C27E6F" w:rsidRDefault="00C27E6F" w:rsidP="00C27E6F">
      <w:pPr>
        <w:shd w:val="clear" w:color="auto" w:fill="FFFFFF"/>
        <w:spacing w:after="0" w:line="240" w:lineRule="auto"/>
        <w:jc w:val="both"/>
        <w:rPr>
          <w:rFonts w:asciiTheme="majorHAnsi" w:hAnsiTheme="majorHAnsi" w:cs="Arial"/>
          <w:b/>
          <w:bCs/>
          <w:color w:val="494949"/>
          <w:sz w:val="20"/>
          <w:u w:val="single"/>
        </w:rPr>
      </w:pPr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>Action points emerged from the Video Conference organized on 13</w:t>
      </w:r>
      <w:r w:rsidRPr="00C27E6F">
        <w:rPr>
          <w:rFonts w:asciiTheme="majorHAnsi" w:hAnsiTheme="majorHAnsi" w:cs="Arial"/>
          <w:b/>
          <w:bCs/>
          <w:color w:val="494949"/>
          <w:sz w:val="20"/>
          <w:u w:val="single"/>
          <w:vertAlign w:val="superscript"/>
        </w:rPr>
        <w:t>th</w:t>
      </w:r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 xml:space="preserve"> December, 2014 regarding implementation of </w:t>
      </w:r>
      <w:proofErr w:type="spellStart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>Pradhan</w:t>
      </w:r>
      <w:proofErr w:type="spellEnd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 xml:space="preserve"> </w:t>
      </w:r>
      <w:proofErr w:type="spellStart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>Mantri</w:t>
      </w:r>
      <w:proofErr w:type="spellEnd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 xml:space="preserve"> Jan-</w:t>
      </w:r>
      <w:proofErr w:type="spellStart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>Dhan</w:t>
      </w:r>
      <w:proofErr w:type="spellEnd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 xml:space="preserve"> </w:t>
      </w:r>
      <w:proofErr w:type="spellStart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>Yojana</w:t>
      </w:r>
      <w:proofErr w:type="spellEnd"/>
      <w:r w:rsidRPr="00C27E6F">
        <w:rPr>
          <w:rFonts w:asciiTheme="majorHAnsi" w:hAnsiTheme="majorHAnsi" w:cs="Arial"/>
          <w:b/>
          <w:bCs/>
          <w:color w:val="494949"/>
          <w:sz w:val="20"/>
          <w:u w:val="single"/>
        </w:rPr>
        <w:t xml:space="preserve"> (PMJDY)</w:t>
      </w:r>
    </w:p>
    <w:p w:rsidR="00C27E6F" w:rsidRPr="00C27E6F" w:rsidRDefault="00C27E6F" w:rsidP="00C27E6F">
      <w:pPr>
        <w:shd w:val="clear" w:color="auto" w:fill="FFFFFF"/>
        <w:spacing w:after="0" w:line="240" w:lineRule="auto"/>
        <w:ind w:left="720" w:hanging="720"/>
        <w:jc w:val="both"/>
        <w:rPr>
          <w:rFonts w:asciiTheme="majorHAnsi" w:hAnsiTheme="majorHAnsi" w:cs="Calibri"/>
          <w:color w:val="494949"/>
          <w:sz w:val="20"/>
        </w:rPr>
      </w:pPr>
    </w:p>
    <w:p w:rsidR="00C27E6F" w:rsidRPr="00C27E6F" w:rsidRDefault="00C27E6F" w:rsidP="00C27E6F">
      <w:pPr>
        <w:shd w:val="clear" w:color="auto" w:fill="FFFFFF"/>
        <w:spacing w:line="240" w:lineRule="auto"/>
        <w:jc w:val="both"/>
        <w:rPr>
          <w:rFonts w:asciiTheme="majorHAnsi" w:hAnsiTheme="majorHAnsi" w:cs="Calibri"/>
          <w:color w:val="494949"/>
          <w:sz w:val="20"/>
        </w:rPr>
      </w:pPr>
      <w:r w:rsidRPr="00C27E6F">
        <w:rPr>
          <w:rFonts w:asciiTheme="majorHAnsi" w:hAnsiTheme="majorHAnsi" w:cs="Calibri"/>
          <w:color w:val="494949"/>
          <w:sz w:val="20"/>
        </w:rPr>
        <w:t xml:space="preserve">This has reference to your letter Ref: GMO/SLBC-79-PMJDY/1142/2015 dated December 23, 2014 whereby we have been advised to submit the point-wise compliance of the action points emerged from the Video Conference organized on 13th December, 2014 regarding implementation of </w:t>
      </w:r>
      <w:proofErr w:type="spellStart"/>
      <w:r w:rsidRPr="00C27E6F">
        <w:rPr>
          <w:rFonts w:asciiTheme="majorHAnsi" w:hAnsiTheme="majorHAnsi" w:cs="Calibri"/>
          <w:color w:val="494949"/>
          <w:sz w:val="20"/>
        </w:rPr>
        <w:t>Pradhan</w:t>
      </w:r>
      <w:proofErr w:type="spellEnd"/>
      <w:r w:rsidRPr="00C27E6F">
        <w:rPr>
          <w:rFonts w:asciiTheme="majorHAnsi" w:hAnsiTheme="majorHAnsi" w:cs="Calibri"/>
          <w:color w:val="494949"/>
          <w:sz w:val="20"/>
        </w:rPr>
        <w:t xml:space="preserve"> </w:t>
      </w:r>
      <w:proofErr w:type="spellStart"/>
      <w:r w:rsidRPr="00C27E6F">
        <w:rPr>
          <w:rFonts w:asciiTheme="majorHAnsi" w:hAnsiTheme="majorHAnsi" w:cs="Calibri"/>
          <w:color w:val="494949"/>
          <w:sz w:val="20"/>
        </w:rPr>
        <w:t>Mantri</w:t>
      </w:r>
      <w:proofErr w:type="spellEnd"/>
      <w:r w:rsidRPr="00C27E6F">
        <w:rPr>
          <w:rFonts w:asciiTheme="majorHAnsi" w:hAnsiTheme="majorHAnsi" w:cs="Calibri"/>
          <w:color w:val="494949"/>
          <w:sz w:val="20"/>
        </w:rPr>
        <w:t xml:space="preserve"> Jan-</w:t>
      </w:r>
      <w:proofErr w:type="spellStart"/>
      <w:r w:rsidRPr="00C27E6F">
        <w:rPr>
          <w:rFonts w:asciiTheme="majorHAnsi" w:hAnsiTheme="majorHAnsi" w:cs="Calibri"/>
          <w:color w:val="494949"/>
          <w:sz w:val="20"/>
        </w:rPr>
        <w:t>Dhan</w:t>
      </w:r>
      <w:proofErr w:type="spellEnd"/>
      <w:r w:rsidRPr="00C27E6F">
        <w:rPr>
          <w:rFonts w:asciiTheme="majorHAnsi" w:hAnsiTheme="majorHAnsi" w:cs="Calibri"/>
          <w:color w:val="494949"/>
          <w:sz w:val="20"/>
        </w:rPr>
        <w:t xml:space="preserve"> </w:t>
      </w:r>
      <w:proofErr w:type="spellStart"/>
      <w:r w:rsidRPr="00C27E6F">
        <w:rPr>
          <w:rFonts w:asciiTheme="majorHAnsi" w:hAnsiTheme="majorHAnsi" w:cs="Calibri"/>
          <w:color w:val="494949"/>
          <w:sz w:val="20"/>
        </w:rPr>
        <w:t>Yojana</w:t>
      </w:r>
      <w:proofErr w:type="spellEnd"/>
      <w:r w:rsidRPr="00C27E6F">
        <w:rPr>
          <w:rFonts w:asciiTheme="majorHAnsi" w:hAnsiTheme="majorHAnsi" w:cs="Calibri"/>
          <w:color w:val="494949"/>
          <w:sz w:val="20"/>
        </w:rPr>
        <w:t xml:space="preserve"> (PMJDY).</w:t>
      </w:r>
    </w:p>
    <w:p w:rsidR="00C27E6F" w:rsidRPr="00C27E6F" w:rsidRDefault="00C27E6F" w:rsidP="00C27E6F">
      <w:pPr>
        <w:shd w:val="clear" w:color="auto" w:fill="FFFFFF"/>
        <w:spacing w:line="240" w:lineRule="auto"/>
        <w:jc w:val="both"/>
        <w:rPr>
          <w:rFonts w:asciiTheme="majorHAnsi" w:hAnsiTheme="majorHAnsi" w:cs="Arial"/>
          <w:color w:val="494949"/>
          <w:sz w:val="20"/>
        </w:rPr>
      </w:pPr>
      <w:r w:rsidRPr="00C27E6F">
        <w:rPr>
          <w:rFonts w:asciiTheme="majorHAnsi" w:hAnsiTheme="majorHAnsi" w:cs="Calibri"/>
          <w:color w:val="494949"/>
          <w:sz w:val="20"/>
        </w:rPr>
        <w:t>Our remarks are as below:</w:t>
      </w:r>
    </w:p>
    <w:tbl>
      <w:tblPr>
        <w:tblW w:w="9813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1"/>
        <w:gridCol w:w="4084"/>
        <w:gridCol w:w="5058"/>
      </w:tblGrid>
      <w:tr w:rsidR="00C27E6F" w:rsidRPr="00C27E6F" w:rsidTr="00144C77">
        <w:trPr>
          <w:trHeight w:val="420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color w:val="494949"/>
                <w:sz w:val="20"/>
                <w:u w:val="single"/>
              </w:rPr>
            </w:pPr>
            <w:r w:rsidRPr="00C27E6F">
              <w:rPr>
                <w:rFonts w:asciiTheme="majorHAnsi" w:hAnsiTheme="majorHAnsi" w:cs="Arial"/>
                <w:b/>
                <w:bCs/>
                <w:color w:val="494949"/>
                <w:sz w:val="20"/>
                <w:u w:val="single"/>
              </w:rPr>
              <w:t>No.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color w:val="494949"/>
                <w:sz w:val="20"/>
                <w:u w:val="single"/>
              </w:rPr>
            </w:pPr>
            <w:r w:rsidRPr="00C27E6F">
              <w:rPr>
                <w:rFonts w:asciiTheme="majorHAnsi" w:hAnsiTheme="majorHAnsi" w:cs="Arial"/>
                <w:b/>
                <w:bCs/>
                <w:color w:val="494949"/>
                <w:sz w:val="20"/>
                <w:u w:val="single"/>
              </w:rPr>
              <w:t>Description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b/>
                <w:bCs/>
                <w:color w:val="494949"/>
                <w:sz w:val="20"/>
                <w:u w:val="single"/>
              </w:rPr>
            </w:pPr>
            <w:r w:rsidRPr="00C27E6F">
              <w:rPr>
                <w:rFonts w:asciiTheme="majorHAnsi" w:hAnsiTheme="majorHAnsi" w:cs="Arial"/>
                <w:b/>
                <w:bCs/>
                <w:color w:val="494949"/>
                <w:sz w:val="20"/>
                <w:u w:val="single"/>
              </w:rPr>
              <w:t>Our Details</w:t>
            </w:r>
          </w:p>
        </w:tc>
      </w:tr>
      <w:tr w:rsidR="00C27E6F" w:rsidRPr="00C27E6F" w:rsidTr="00144C77">
        <w:trPr>
          <w:trHeight w:val="420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1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Calibri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100% issuance of RuPay cards and Pass books by 15.01.2015.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100% issuances of RuPay cards and Pass books to all eligible customers under PMJDY have been achieved by 15.01.2015.</w:t>
            </w:r>
          </w:p>
        </w:tc>
      </w:tr>
      <w:tr w:rsidR="00C27E6F" w:rsidRPr="00C27E6F" w:rsidTr="00144C77">
        <w:trPr>
          <w:trHeight w:val="585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2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Proper publicity of the Scheme for educating the customers for not opening multiple accounts under the Scheme, as accidental insurance will be given to one person in each household.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We have instructed our branches and are educating people by using banners, newspaper cuttings, street plays, gram sabhas, customer meets, etc. to avoid opening of multiple accounts under PMJDY.</w:t>
            </w:r>
          </w:p>
        </w:tc>
      </w:tr>
      <w:tr w:rsidR="00C27E6F" w:rsidRPr="00C27E6F" w:rsidTr="00144C77">
        <w:trPr>
          <w:trHeight w:val="630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3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Banks may also use Aadhaar / e-KYC for opening of accounts, as this is an effective tool to eliminate multiple accounts in the system.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proofErr w:type="spellStart"/>
            <w:r w:rsidRPr="00C27E6F">
              <w:rPr>
                <w:rFonts w:asciiTheme="majorHAnsi" w:hAnsiTheme="majorHAnsi" w:cs="Arial"/>
                <w:color w:val="494949"/>
                <w:sz w:val="20"/>
              </w:rPr>
              <w:t>Aadhar</w:t>
            </w:r>
            <w:proofErr w:type="spellEnd"/>
            <w:r w:rsidRPr="00C27E6F">
              <w:rPr>
                <w:rFonts w:asciiTheme="majorHAnsi" w:hAnsiTheme="majorHAnsi" w:cs="Arial"/>
                <w:color w:val="494949"/>
                <w:sz w:val="20"/>
              </w:rPr>
              <w:t xml:space="preserve"> seeding/linkage/mapping is progressing which would eliminate multiple accounts in system.</w:t>
            </w:r>
          </w:p>
        </w:tc>
      </w:tr>
      <w:tr w:rsidR="00C27E6F" w:rsidRPr="00C27E6F" w:rsidTr="00144C77">
        <w:trPr>
          <w:trHeight w:val="450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4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FAQs published under PMJDY should also be widely disseminated.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PMJDY-FAQs and all other guidelines are already available on our Bank’s official website as also BCs/Bank mitras and FLC councilors are provided with necessary information paper/pamphlets etc. to disseminate the information.</w:t>
            </w:r>
          </w:p>
        </w:tc>
      </w:tr>
      <w:tr w:rsidR="00C27E6F" w:rsidRPr="00C27E6F" w:rsidTr="00144C77">
        <w:trPr>
          <w:trHeight w:val="810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5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 xml:space="preserve">Completion of the deployment of Bank </w:t>
            </w:r>
            <w:proofErr w:type="spellStart"/>
            <w:r w:rsidRPr="00C27E6F">
              <w:rPr>
                <w:rFonts w:asciiTheme="majorHAnsi" w:hAnsiTheme="majorHAnsi" w:cs="Arial"/>
                <w:color w:val="494949"/>
                <w:sz w:val="20"/>
              </w:rPr>
              <w:t>Mitra</w:t>
            </w:r>
            <w:proofErr w:type="spellEnd"/>
            <w:r w:rsidRPr="00C27E6F">
              <w:rPr>
                <w:rFonts w:asciiTheme="majorHAnsi" w:hAnsiTheme="majorHAnsi" w:cs="Arial"/>
                <w:color w:val="494949"/>
                <w:sz w:val="20"/>
              </w:rPr>
              <w:t xml:space="preserve">, preferably the fixed point, shall be completed by 31.12.2014.  The complete details of Bank </w:t>
            </w:r>
            <w:proofErr w:type="spellStart"/>
            <w:r w:rsidRPr="00C27E6F">
              <w:rPr>
                <w:rFonts w:asciiTheme="majorHAnsi" w:hAnsiTheme="majorHAnsi" w:cs="Arial"/>
                <w:color w:val="494949"/>
                <w:sz w:val="20"/>
              </w:rPr>
              <w:t>Mitra</w:t>
            </w:r>
            <w:proofErr w:type="spellEnd"/>
            <w:r w:rsidRPr="00C27E6F">
              <w:rPr>
                <w:rFonts w:asciiTheme="majorHAnsi" w:hAnsiTheme="majorHAnsi" w:cs="Arial"/>
                <w:color w:val="494949"/>
                <w:sz w:val="20"/>
              </w:rPr>
              <w:t xml:space="preserve"> shall be displayed on Bank’s website and a copy also to be provided to SLBC, so that it can be displayed on SLBC website.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Our Corporate BC-NICT is engaging business correspondent agents (BCAs) and our existing individual BCAs are being replaced by these Corporate BCAs who would be operating under KIOSK model.</w:t>
            </w:r>
          </w:p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</w:p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As the entire process completes, the details would be displayed on Bank’s website and copy would be provided to SLBC.</w:t>
            </w:r>
          </w:p>
        </w:tc>
      </w:tr>
      <w:tr w:rsidR="00C27E6F" w:rsidRPr="00C27E6F" w:rsidTr="00144C77">
        <w:trPr>
          <w:trHeight w:val="1005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6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Online devices / HHDs shall be provided to all Bank Mitras and these devices should have the advance features like e-KYC based account opening, AEPS and RuPay card based interoperable transaction facility.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 xml:space="preserve">Corporate BCAs will be having Laptop/Desktop, finger print authentication device, printer-scanner-photo copying machine, etc and would be eligible for </w:t>
            </w:r>
            <w:proofErr w:type="spellStart"/>
            <w:r w:rsidRPr="00C27E6F">
              <w:rPr>
                <w:rFonts w:asciiTheme="majorHAnsi" w:hAnsiTheme="majorHAnsi" w:cs="Arial"/>
                <w:color w:val="494949"/>
                <w:sz w:val="20"/>
              </w:rPr>
              <w:t>eKYC</w:t>
            </w:r>
            <w:proofErr w:type="spellEnd"/>
            <w:r w:rsidRPr="00C27E6F">
              <w:rPr>
                <w:rFonts w:asciiTheme="majorHAnsi" w:hAnsiTheme="majorHAnsi" w:cs="Arial"/>
                <w:color w:val="494949"/>
                <w:sz w:val="20"/>
              </w:rPr>
              <w:t xml:space="preserve"> account opening, EPS, RuPay card based interoperable transaction facility.</w:t>
            </w:r>
          </w:p>
        </w:tc>
      </w:tr>
      <w:tr w:rsidR="00C27E6F" w:rsidRPr="00C27E6F" w:rsidTr="00144C77">
        <w:trPr>
          <w:trHeight w:val="525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7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Banks to make efforts in the area of Financial Literacy to spread awareness on various topics like bank accounts, PMJDY and RuPay cards, etc.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Financial literacy on various topics like account opening, PMJDY, RuPay cards are covered in Gram Sabhas/Customer meets organized in our branches and FLCs.</w:t>
            </w:r>
          </w:p>
        </w:tc>
      </w:tr>
      <w:tr w:rsidR="00C27E6F" w:rsidRPr="00C27E6F" w:rsidTr="00144C77">
        <w:trPr>
          <w:trHeight w:val="485"/>
        </w:trPr>
        <w:tc>
          <w:tcPr>
            <w:tcW w:w="671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8</w:t>
            </w:r>
          </w:p>
        </w:tc>
        <w:tc>
          <w:tcPr>
            <w:tcW w:w="4084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District-wise Household survey data based on actual survey done shall be provided to SLBC by 30.12.2014 invariably.</w:t>
            </w:r>
          </w:p>
        </w:tc>
        <w:tc>
          <w:tcPr>
            <w:tcW w:w="5058" w:type="dxa"/>
          </w:tcPr>
          <w:p w:rsidR="00C27E6F" w:rsidRPr="00C27E6F" w:rsidRDefault="00C27E6F" w:rsidP="00144C77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="Arial"/>
                <w:color w:val="494949"/>
                <w:sz w:val="20"/>
              </w:rPr>
            </w:pPr>
            <w:r w:rsidRPr="00C27E6F">
              <w:rPr>
                <w:rFonts w:asciiTheme="majorHAnsi" w:hAnsiTheme="majorHAnsi" w:cs="Arial"/>
                <w:color w:val="494949"/>
                <w:sz w:val="20"/>
              </w:rPr>
              <w:t>District-wise Household Survey Data Based on actual survey has already been submitted by us before 30.12.2014</w:t>
            </w:r>
          </w:p>
        </w:tc>
      </w:tr>
    </w:tbl>
    <w:p w:rsidR="000D396A" w:rsidRPr="00C27E6F" w:rsidRDefault="000D396A">
      <w:pPr>
        <w:rPr>
          <w:sz w:val="20"/>
        </w:rPr>
      </w:pPr>
    </w:p>
    <w:sectPr w:rsidR="000D396A" w:rsidRPr="00C27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27E6F"/>
    <w:rsid w:val="000D396A"/>
    <w:rsid w:val="00C2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ADS</cp:lastModifiedBy>
  <cp:revision>2</cp:revision>
  <dcterms:created xsi:type="dcterms:W3CDTF">2015-04-20T08:32:00Z</dcterms:created>
  <dcterms:modified xsi:type="dcterms:W3CDTF">2015-04-20T08:32:00Z</dcterms:modified>
</cp:coreProperties>
</file>